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526"/>
        <w:gridCol w:w="1134"/>
        <w:gridCol w:w="4336"/>
        <w:gridCol w:w="2332"/>
        <w:gridCol w:w="2332"/>
        <w:gridCol w:w="2332"/>
      </w:tblGrid>
      <w:tr w:rsidR="006E28C8" w14:paraId="5FD5D80A" w14:textId="77777777" w:rsidTr="009A2779">
        <w:tc>
          <w:tcPr>
            <w:tcW w:w="1526" w:type="dxa"/>
            <w:shd w:val="clear" w:color="auto" w:fill="FFC000"/>
          </w:tcPr>
          <w:p w14:paraId="524E5374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21E47CC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134" w:type="dxa"/>
            <w:shd w:val="clear" w:color="auto" w:fill="FFC000"/>
          </w:tcPr>
          <w:p w14:paraId="5592DC5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4336" w:type="dxa"/>
            <w:shd w:val="clear" w:color="auto" w:fill="FFC000"/>
          </w:tcPr>
          <w:p w14:paraId="7E1CDD5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2332" w:type="dxa"/>
            <w:shd w:val="clear" w:color="auto" w:fill="FFC000"/>
          </w:tcPr>
          <w:p w14:paraId="3464084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332" w:type="dxa"/>
            <w:shd w:val="clear" w:color="auto" w:fill="FFC000"/>
          </w:tcPr>
          <w:p w14:paraId="7C9D818C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332" w:type="dxa"/>
            <w:shd w:val="clear" w:color="auto" w:fill="FFC000"/>
          </w:tcPr>
          <w:p w14:paraId="417FD33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6E28C8" w14:paraId="6021713C" w14:textId="77777777" w:rsidTr="009A2779">
        <w:tc>
          <w:tcPr>
            <w:tcW w:w="1526" w:type="dxa"/>
            <w:shd w:val="clear" w:color="auto" w:fill="auto"/>
          </w:tcPr>
          <w:p w14:paraId="29CDDE4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14/01/2025</w:t>
            </w:r>
          </w:p>
        </w:tc>
        <w:tc>
          <w:tcPr>
            <w:tcW w:w="1134" w:type="dxa"/>
            <w:shd w:val="clear" w:color="auto" w:fill="auto"/>
          </w:tcPr>
          <w:p w14:paraId="59D56A83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6B64152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Cartographie des métiers du digital</w:t>
            </w:r>
          </w:p>
        </w:tc>
        <w:tc>
          <w:tcPr>
            <w:tcW w:w="2332" w:type="dxa"/>
            <w:shd w:val="clear" w:color="auto" w:fill="auto"/>
          </w:tcPr>
          <w:p w14:paraId="798D6DA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en tension</w:t>
            </w:r>
          </w:p>
        </w:tc>
        <w:tc>
          <w:tcPr>
            <w:tcW w:w="2332" w:type="dxa"/>
            <w:shd w:val="clear" w:color="auto" w:fill="auto"/>
          </w:tcPr>
          <w:p w14:paraId="41B3DDA8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2C4B4EF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en tension digital</w:t>
            </w:r>
          </w:p>
        </w:tc>
      </w:tr>
      <w:tr w:rsidR="006E28C8" w14:paraId="75F86218" w14:textId="77777777" w:rsidTr="009A2779">
        <w:tc>
          <w:tcPr>
            <w:tcW w:w="1526" w:type="dxa"/>
            <w:shd w:val="clear" w:color="auto" w:fill="auto"/>
          </w:tcPr>
          <w:p w14:paraId="7E01EF46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28/01/2025</w:t>
            </w:r>
          </w:p>
        </w:tc>
        <w:tc>
          <w:tcPr>
            <w:tcW w:w="1134" w:type="dxa"/>
            <w:shd w:val="clear" w:color="auto" w:fill="auto"/>
          </w:tcPr>
          <w:p w14:paraId="2B454086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1AC9245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Guide des métiers émergents 2025</w:t>
            </w:r>
          </w:p>
        </w:tc>
        <w:tc>
          <w:tcPr>
            <w:tcW w:w="2332" w:type="dxa"/>
            <w:shd w:val="clear" w:color="auto" w:fill="auto"/>
          </w:tcPr>
          <w:p w14:paraId="31838794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émergement</w:t>
            </w:r>
          </w:p>
        </w:tc>
        <w:tc>
          <w:tcPr>
            <w:tcW w:w="2332" w:type="dxa"/>
            <w:shd w:val="clear" w:color="auto" w:fill="auto"/>
          </w:tcPr>
          <w:p w14:paraId="1DF5032C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5B87709F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</w:tr>
      <w:tr w:rsidR="006E28C8" w14:paraId="4BAB6E3D" w14:textId="77777777" w:rsidTr="009A2779">
        <w:tc>
          <w:tcPr>
            <w:tcW w:w="1526" w:type="dxa"/>
            <w:shd w:val="clear" w:color="auto" w:fill="auto"/>
          </w:tcPr>
          <w:p w14:paraId="54D826DB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03/02/2025</w:t>
            </w:r>
          </w:p>
        </w:tc>
        <w:tc>
          <w:tcPr>
            <w:tcW w:w="1134" w:type="dxa"/>
            <w:shd w:val="clear" w:color="auto" w:fill="auto"/>
          </w:tcPr>
          <w:p w14:paraId="03578E6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50FDEB84" w14:textId="77777777" w:rsidR="006E28C8" w:rsidRDefault="00FB2546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="006E28C8" w:rsidRPr="00D36C49">
                <w:rPr>
                  <w:rStyle w:val="Lienhypertexte"/>
                </w:rPr>
                <w:t>Certifications professionnelles : évolution de la composition des CPC</w:t>
              </w:r>
            </w:hyperlink>
            <w:r w:rsidR="006E28C8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3840FD5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CPC changement</w:t>
            </w:r>
          </w:p>
        </w:tc>
        <w:tc>
          <w:tcPr>
            <w:tcW w:w="2332" w:type="dxa"/>
            <w:shd w:val="clear" w:color="auto" w:fill="auto"/>
          </w:tcPr>
          <w:p w14:paraId="3044035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3C42044A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légale Certification professionnelle</w:t>
            </w:r>
          </w:p>
        </w:tc>
      </w:tr>
      <w:tr w:rsidR="006E28C8" w14:paraId="2D5E30B0" w14:textId="77777777" w:rsidTr="009A2779">
        <w:tc>
          <w:tcPr>
            <w:tcW w:w="1526" w:type="dxa"/>
            <w:shd w:val="clear" w:color="auto" w:fill="auto"/>
          </w:tcPr>
          <w:p w14:paraId="0AB0EE7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07/02/2025</w:t>
            </w:r>
          </w:p>
        </w:tc>
        <w:tc>
          <w:tcPr>
            <w:tcW w:w="1134" w:type="dxa"/>
            <w:shd w:val="clear" w:color="auto" w:fill="auto"/>
          </w:tcPr>
          <w:p w14:paraId="40B8BF3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0A8D84F8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Cap Métiers Nouvelle Aquitaine</w:t>
            </w:r>
          </w:p>
        </w:tc>
        <w:tc>
          <w:tcPr>
            <w:tcW w:w="2332" w:type="dxa"/>
            <w:shd w:val="clear" w:color="auto" w:fill="auto"/>
          </w:tcPr>
          <w:p w14:paraId="7232D098" w14:textId="77777777" w:rsidR="006E28C8" w:rsidRDefault="00FB2546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1" w:history="1">
              <w:r w:rsidR="006E28C8" w:rsidRPr="002D09DC">
                <w:rPr>
                  <w:rStyle w:val="Lienhypertexte"/>
                </w:rPr>
                <w:t>Infirmiers de bloc opératoire : la nouvelle formation complémentaire obligatoire</w:t>
              </w:r>
            </w:hyperlink>
            <w:r w:rsidR="006E28C8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2279416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20CE820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filière infirmière</w:t>
            </w:r>
          </w:p>
        </w:tc>
      </w:tr>
      <w:tr w:rsidR="00A6077B" w14:paraId="0CE79AAB" w14:textId="77777777" w:rsidTr="005E7C80">
        <w:tc>
          <w:tcPr>
            <w:tcW w:w="1526" w:type="dxa"/>
            <w:shd w:val="clear" w:color="auto" w:fill="auto"/>
          </w:tcPr>
          <w:p w14:paraId="10D7F643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02/04/2025</w:t>
            </w:r>
          </w:p>
        </w:tc>
        <w:tc>
          <w:tcPr>
            <w:tcW w:w="1134" w:type="dxa"/>
            <w:shd w:val="clear" w:color="auto" w:fill="auto"/>
          </w:tcPr>
          <w:p w14:paraId="480F1153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051884B5" w14:textId="77777777" w:rsidR="00A6077B" w:rsidRDefault="00FB2546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2" w:history="1">
              <w:r w:rsidR="00A6077B" w:rsidRPr="00153F07">
                <w:rPr>
                  <w:rStyle w:val="Lienhypertexte"/>
                </w:rPr>
                <w:t>Les infrastructures du numérique anticipent leurs métiers et compétences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18A7C848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 w:rsidRPr="00153F07">
              <w:t>Un nouvel outil en ligne de gestion des emplois et des parcours professionnels (GEPP) dédié aux infrastructures du numérique</w:t>
            </w:r>
          </w:p>
        </w:tc>
        <w:tc>
          <w:tcPr>
            <w:tcW w:w="2332" w:type="dxa"/>
            <w:shd w:val="clear" w:color="auto" w:fill="auto"/>
          </w:tcPr>
          <w:p w14:paraId="77BB324B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638553AA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A6077B" w14:paraId="23778E0C" w14:textId="77777777" w:rsidTr="005E7C80">
        <w:tc>
          <w:tcPr>
            <w:tcW w:w="1526" w:type="dxa"/>
            <w:shd w:val="clear" w:color="auto" w:fill="auto"/>
          </w:tcPr>
          <w:p w14:paraId="2C2559E7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04/04/2025</w:t>
            </w:r>
          </w:p>
        </w:tc>
        <w:tc>
          <w:tcPr>
            <w:tcW w:w="1134" w:type="dxa"/>
            <w:shd w:val="clear" w:color="auto" w:fill="auto"/>
          </w:tcPr>
          <w:p w14:paraId="2FF6CD35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2A2B3F60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582B0689" w14:textId="77777777" w:rsidR="00A6077B" w:rsidRPr="00153F07" w:rsidRDefault="00FB2546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3" w:history="1">
              <w:r w:rsidR="00A6077B" w:rsidRPr="000E294E">
                <w:rPr>
                  <w:rStyle w:val="Lienhypertexte"/>
                </w:rPr>
                <w:t>Former aux métiers du vrac et du réemploi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05A6AC9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6638934B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A6077B" w14:paraId="27B12FFC" w14:textId="77777777" w:rsidTr="005E7C80">
        <w:tc>
          <w:tcPr>
            <w:tcW w:w="1526" w:type="dxa"/>
            <w:shd w:val="clear" w:color="auto" w:fill="auto"/>
          </w:tcPr>
          <w:p w14:paraId="3C91281E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07/04/2025</w:t>
            </w:r>
          </w:p>
        </w:tc>
        <w:tc>
          <w:tcPr>
            <w:tcW w:w="1134" w:type="dxa"/>
            <w:shd w:val="clear" w:color="auto" w:fill="auto"/>
          </w:tcPr>
          <w:p w14:paraId="27BCE4D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14A49D39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0A304A42" w14:textId="77777777" w:rsidR="00A6077B" w:rsidRDefault="00FB2546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4" w:history="1">
              <w:r w:rsidR="00A6077B" w:rsidRPr="00D82427">
                <w:rPr>
                  <w:rStyle w:val="Lienhypertexte"/>
                </w:rPr>
                <w:t>La montée en compétences, clé de voûte de l'industrie des batteries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799D8271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2AA2194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990116" w14:paraId="27A086C1" w14:textId="77777777" w:rsidTr="001A6E95">
        <w:tc>
          <w:tcPr>
            <w:tcW w:w="1526" w:type="dxa"/>
            <w:shd w:val="clear" w:color="auto" w:fill="auto"/>
          </w:tcPr>
          <w:p w14:paraId="1C46355D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lastRenderedPageBreak/>
              <w:t>21/05/2025</w:t>
            </w:r>
          </w:p>
        </w:tc>
        <w:tc>
          <w:tcPr>
            <w:tcW w:w="1134" w:type="dxa"/>
            <w:shd w:val="clear" w:color="auto" w:fill="auto"/>
          </w:tcPr>
          <w:p w14:paraId="4C7A02D5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7FCB7B3E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2332" w:type="dxa"/>
            <w:shd w:val="clear" w:color="auto" w:fill="auto"/>
          </w:tcPr>
          <w:p w14:paraId="3C43FFDF" w14:textId="77777777" w:rsidR="00990116" w:rsidRDefault="00FB254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5" w:history="1">
              <w:r w:rsidR="00990116" w:rsidRPr="00EA6D4C">
                <w:rPr>
                  <w:rStyle w:val="Lienhypertexte"/>
                </w:rPr>
                <w:t xml:space="preserve">L'IA et les évolutions du travail : les synthèses du </w:t>
              </w:r>
              <w:proofErr w:type="spellStart"/>
              <w:r w:rsidR="00990116" w:rsidRPr="00EA6D4C">
                <w:rPr>
                  <w:rStyle w:val="Lienhypertexte"/>
                </w:rPr>
                <w:t>Lab</w:t>
              </w:r>
              <w:proofErr w:type="spellEnd"/>
            </w:hyperlink>
            <w:r w:rsidR="00990116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17BBDBB7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2332" w:type="dxa"/>
            <w:shd w:val="clear" w:color="auto" w:fill="auto"/>
          </w:tcPr>
          <w:p w14:paraId="1CE8BCD2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</w:tr>
      <w:tr w:rsidR="00990116" w14:paraId="7797DEDD" w14:textId="77777777" w:rsidTr="001A6E95">
        <w:tc>
          <w:tcPr>
            <w:tcW w:w="1526" w:type="dxa"/>
            <w:shd w:val="clear" w:color="auto" w:fill="auto"/>
          </w:tcPr>
          <w:p w14:paraId="545E5202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23/05/2025</w:t>
            </w:r>
          </w:p>
        </w:tc>
        <w:tc>
          <w:tcPr>
            <w:tcW w:w="1134" w:type="dxa"/>
            <w:shd w:val="clear" w:color="auto" w:fill="auto"/>
          </w:tcPr>
          <w:p w14:paraId="417D03E6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740B5AFB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72AE3383" w14:textId="77777777" w:rsidR="00990116" w:rsidRDefault="00FB254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6" w:history="1">
              <w:r w:rsidR="00990116" w:rsidRPr="00296B92">
                <w:rPr>
                  <w:rStyle w:val="Lienhypertexte"/>
                </w:rPr>
                <w:t>Publication de la liste des métiers en tension actualisée</w:t>
              </w:r>
            </w:hyperlink>
            <w:r w:rsidR="00990116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1FFB0AD3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7CDAF938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64C39" w14:paraId="3F4A99AB" w14:textId="77777777" w:rsidTr="00777FD4">
        <w:tc>
          <w:tcPr>
            <w:tcW w:w="1526" w:type="dxa"/>
            <w:shd w:val="clear" w:color="auto" w:fill="auto"/>
          </w:tcPr>
          <w:p w14:paraId="0D80FB31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17/06/2025</w:t>
            </w:r>
          </w:p>
        </w:tc>
        <w:tc>
          <w:tcPr>
            <w:tcW w:w="1134" w:type="dxa"/>
            <w:shd w:val="clear" w:color="auto" w:fill="auto"/>
          </w:tcPr>
          <w:p w14:paraId="28313290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026D74CA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3C261EE2" w14:textId="77777777" w:rsidR="00764C39" w:rsidRDefault="00FB2546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7" w:history="1">
              <w:r w:rsidR="00764C39" w:rsidRPr="003C6CD5">
                <w:rPr>
                  <w:rStyle w:val="Lienhypertexte"/>
                </w:rPr>
                <w:t xml:space="preserve">Rénovation </w:t>
              </w:r>
              <w:proofErr w:type="gramStart"/>
              <w:r w:rsidR="00764C39" w:rsidRPr="003C6CD5">
                <w:rPr>
                  <w:rStyle w:val="Lienhypertexte"/>
                </w:rPr>
                <w:t>énergétique:</w:t>
              </w:r>
              <w:proofErr w:type="gramEnd"/>
              <w:r w:rsidR="00764C39" w:rsidRPr="003C6CD5">
                <w:rPr>
                  <w:rStyle w:val="Lienhypertexte"/>
                </w:rPr>
                <w:t xml:space="preserve"> l'</w:t>
              </w:r>
              <w:proofErr w:type="spellStart"/>
              <w:r w:rsidR="00764C39" w:rsidRPr="003C6CD5">
                <w:rPr>
                  <w:rStyle w:val="Lienhypertexte"/>
                </w:rPr>
                <w:t>Asder</w:t>
              </w:r>
              <w:proofErr w:type="spellEnd"/>
              <w:r w:rsidR="00764C39" w:rsidRPr="003C6CD5">
                <w:rPr>
                  <w:rStyle w:val="Lienhypertexte"/>
                </w:rPr>
                <w:t xml:space="preserve"> et </w:t>
              </w:r>
              <w:proofErr w:type="spellStart"/>
              <w:r w:rsidR="00764C39" w:rsidRPr="003C6CD5">
                <w:rPr>
                  <w:rStyle w:val="Lienhypertexte"/>
                </w:rPr>
                <w:t>Sénova</w:t>
              </w:r>
              <w:proofErr w:type="spellEnd"/>
              <w:r w:rsidR="00764C39" w:rsidRPr="003C6CD5">
                <w:rPr>
                  <w:rStyle w:val="Lienhypertexte"/>
                </w:rPr>
                <w:t xml:space="preserve"> s'associent pour ouvrir deux campus de formation</w:t>
              </w:r>
            </w:hyperlink>
            <w:r w:rsidR="00764C39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1D7B921B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28A0E3A9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F3CD4" w14:paraId="62D9589B" w14:textId="77777777" w:rsidTr="0041719B">
        <w:tc>
          <w:tcPr>
            <w:tcW w:w="1526" w:type="dxa"/>
            <w:shd w:val="clear" w:color="auto" w:fill="auto"/>
          </w:tcPr>
          <w:p w14:paraId="7D8677EF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04/07/2025</w:t>
            </w:r>
          </w:p>
        </w:tc>
        <w:tc>
          <w:tcPr>
            <w:tcW w:w="1134" w:type="dxa"/>
            <w:shd w:val="clear" w:color="auto" w:fill="auto"/>
          </w:tcPr>
          <w:p w14:paraId="2AB40DD4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5883372F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 Newsletter</w:t>
            </w:r>
          </w:p>
        </w:tc>
        <w:tc>
          <w:tcPr>
            <w:tcW w:w="2332" w:type="dxa"/>
            <w:shd w:val="clear" w:color="auto" w:fill="auto"/>
          </w:tcPr>
          <w:p w14:paraId="3CE8F69E" w14:textId="77777777" w:rsidR="007F3CD4" w:rsidRDefault="00FB2546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8" w:history="1">
              <w:r w:rsidR="007F3CD4" w:rsidRPr="00B23238">
                <w:rPr>
                  <w:rStyle w:val="Lienhypertexte"/>
                </w:rPr>
                <w:t>Les métiers qui recrutent en AURA</w:t>
              </w:r>
            </w:hyperlink>
            <w:r w:rsidR="007F3CD4">
              <w:t xml:space="preserve"> dans le transport </w:t>
            </w:r>
          </w:p>
        </w:tc>
        <w:tc>
          <w:tcPr>
            <w:tcW w:w="2332" w:type="dxa"/>
            <w:shd w:val="clear" w:color="auto" w:fill="auto"/>
          </w:tcPr>
          <w:p w14:paraId="5049DE7E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3CE97279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F3CD4" w14:paraId="036E586B" w14:textId="77777777" w:rsidTr="0041719B">
        <w:tc>
          <w:tcPr>
            <w:tcW w:w="1526" w:type="dxa"/>
            <w:shd w:val="clear" w:color="auto" w:fill="auto"/>
          </w:tcPr>
          <w:p w14:paraId="47292B8B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16/07/2025</w:t>
            </w:r>
          </w:p>
        </w:tc>
        <w:tc>
          <w:tcPr>
            <w:tcW w:w="1134" w:type="dxa"/>
            <w:shd w:val="clear" w:color="auto" w:fill="auto"/>
          </w:tcPr>
          <w:p w14:paraId="1178494B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4EA074E6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7CB16D4C" w14:textId="77777777" w:rsidR="007F3CD4" w:rsidRDefault="00FB2546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9" w:history="1">
              <w:r w:rsidR="007F3CD4" w:rsidRPr="00797FA8">
                <w:rPr>
                  <w:rStyle w:val="Lienhypertexte"/>
                </w:rPr>
                <w:t>L'</w:t>
              </w:r>
              <w:proofErr w:type="spellStart"/>
              <w:r w:rsidR="007F3CD4" w:rsidRPr="00797FA8">
                <w:rPr>
                  <w:rStyle w:val="Lienhypertexte"/>
                </w:rPr>
                <w:t>interindustrie</w:t>
              </w:r>
              <w:proofErr w:type="spellEnd"/>
              <w:r w:rsidR="007F3CD4" w:rsidRPr="00797FA8">
                <w:rPr>
                  <w:rStyle w:val="Lienhypertexte"/>
                </w:rPr>
                <w:t xml:space="preserve"> rhônalpine confrontée aux enjeux des compétences </w:t>
              </w:r>
            </w:hyperlink>
            <w:r w:rsidR="007F3CD4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3DBB0355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4A7B9E22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11175" w14:paraId="63468514" w14:textId="77777777" w:rsidTr="004157B2">
        <w:tc>
          <w:tcPr>
            <w:tcW w:w="1526" w:type="dxa"/>
            <w:shd w:val="clear" w:color="auto" w:fill="auto"/>
          </w:tcPr>
          <w:p w14:paraId="2157919B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16/09/2025</w:t>
            </w:r>
          </w:p>
        </w:tc>
        <w:tc>
          <w:tcPr>
            <w:tcW w:w="1134" w:type="dxa"/>
            <w:shd w:val="clear" w:color="auto" w:fill="auto"/>
          </w:tcPr>
          <w:p w14:paraId="3779AF9E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shd w:val="clear" w:color="auto" w:fill="auto"/>
          </w:tcPr>
          <w:p w14:paraId="5252FEBD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5503774B" w14:textId="77777777" w:rsidR="00411175" w:rsidRDefault="00FB2546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0" w:history="1">
              <w:r w:rsidR="00411175" w:rsidRPr="003639F3">
                <w:rPr>
                  <w:rStyle w:val="Lienhypertexte"/>
                </w:rPr>
                <w:t>Les métiers de la santé ont une nouvelle cartographie</w:t>
              </w:r>
            </w:hyperlink>
            <w:r w:rsidR="00411175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010461E6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202C6C61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FB2546" w14:paraId="20635658" w14:textId="77777777" w:rsidTr="00EC25EF">
        <w:tc>
          <w:tcPr>
            <w:tcW w:w="1526" w:type="dxa"/>
            <w:shd w:val="clear" w:color="auto" w:fill="auto"/>
          </w:tcPr>
          <w:p w14:paraId="73ACCA0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07/10/2025</w:t>
            </w:r>
          </w:p>
        </w:tc>
        <w:tc>
          <w:tcPr>
            <w:tcW w:w="1134" w:type="dxa"/>
            <w:shd w:val="clear" w:color="auto" w:fill="auto"/>
          </w:tcPr>
          <w:p w14:paraId="46CEE27B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SP </w:t>
            </w:r>
          </w:p>
        </w:tc>
        <w:tc>
          <w:tcPr>
            <w:tcW w:w="4336" w:type="dxa"/>
            <w:shd w:val="clear" w:color="auto" w:fill="auto"/>
          </w:tcPr>
          <w:p w14:paraId="09D3593C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Dauphiné Libéré</w:t>
            </w:r>
          </w:p>
        </w:tc>
        <w:tc>
          <w:tcPr>
            <w:tcW w:w="2332" w:type="dxa"/>
            <w:shd w:val="clear" w:color="auto" w:fill="auto"/>
          </w:tcPr>
          <w:p w14:paraId="0C13106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Nouveau CAP Charpentier à Aigueblanche</w:t>
            </w:r>
          </w:p>
        </w:tc>
        <w:tc>
          <w:tcPr>
            <w:tcW w:w="2332" w:type="dxa"/>
            <w:shd w:val="clear" w:color="auto" w:fill="auto"/>
          </w:tcPr>
          <w:p w14:paraId="52688BA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shd w:val="clear" w:color="auto" w:fill="auto"/>
          </w:tcPr>
          <w:p w14:paraId="0FC1FF1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7BCA4248" w14:textId="77777777" w:rsidR="00553799" w:rsidRDefault="00553799" w:rsidP="00553799">
      <w:bookmarkStart w:id="0" w:name="_GoBack"/>
      <w:bookmarkEnd w:id="0"/>
    </w:p>
    <w:p w14:paraId="7BCA4249" w14:textId="77777777" w:rsidR="00553799" w:rsidRDefault="00553799" w:rsidP="00553799"/>
    <w:p w14:paraId="7BCA424A" w14:textId="77777777" w:rsidR="00AC06C6" w:rsidRDefault="00AC06C6" w:rsidP="00BD7533"/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4" w14:textId="77777777" w:rsidR="001D298D" w:rsidRDefault="001D298D" w:rsidP="001D298D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854E2"/>
    <w:rsid w:val="00486215"/>
    <w:rsid w:val="004E650D"/>
    <w:rsid w:val="00503F4D"/>
    <w:rsid w:val="00521EEE"/>
    <w:rsid w:val="00533575"/>
    <w:rsid w:val="005341C3"/>
    <w:rsid w:val="00553799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F3CD4"/>
    <w:rsid w:val="00822AB0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578E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50F6D"/>
    <w:rsid w:val="00E577A4"/>
    <w:rsid w:val="00F02A85"/>
    <w:rsid w:val="00F618A8"/>
    <w:rsid w:val="00F65822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rticles-2025/former-aux-metiers-du-vrac-et-du-reemploi" TargetMode="External"/><Relationship Id="rId18" Type="http://schemas.openxmlformats.org/officeDocument/2006/relationships/hyperlink" Target="https://www.via-competences.fr/actualites/transport-et-logistique-zoom-sur-un-secteur-porteur?_sc=MTIyOTkyNiMyMzM5MzMx&amp;utm_campaign=Newsletter+Via+Comptences_juillet2025&amp;utm_id=1213&amp;utm_medium=email&amp;utm_source=brevo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centre-inffo.fr/site-centre-inffo/actualites-centre-inffo/le-quotidien-de-la-formation-actualite-formation-professionnelle-apprentissage/articles-2025/les-infrastructures-du-numerique-anticipent-leurs-metiers-et-competences" TargetMode="External"/><Relationship Id="rId17" Type="http://schemas.openxmlformats.org/officeDocument/2006/relationships/hyperlink" Target="https://www.centre-inffo.fr/site-centre-inffo/actualites-centre-inffo/le-quotidien-de-la-formation-actualite-formation-professionnelle-apprentissage/articles-2025/renovation-energetique-lasder-et-senova-sassocient-pour-ouvrir-deux-campus-de-formation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e-inffo.fr/site-centre-inffo/actualites-centre-inffo/le-quotidien-de-la-formation-actualite-formation-professionnelle-apprentissage/articles-2025/publication-de-la-liste-des-metiers-en-tension-actualisee" TargetMode="External"/><Relationship Id="rId20" Type="http://schemas.openxmlformats.org/officeDocument/2006/relationships/hyperlink" Target="https://www.centre-inffo.fr/site-centre-inffo/actualites-centre-inffo/le-quotidien-de-la-formation-actualite-formation-professionnelle-apprentissage/articles-2025/les-metiers-de-la-sante-ont-une-nouvelle-cartograph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p-metiers.pro/actualites/57821__-2/Infirmiers-bloc-operatoire-nouvelle-formation-complementaire-obligatoire.aspx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lab.securite-sociale.fr/dossiers-de-veille/l-ia-et-les-evolutions-du-travail-les-syntheses-du-lab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centre-inffo.fr/site-droit-formation/actualites-droit/certifications-professionnelles-evolution-de-la-composition-des-cpc" TargetMode="External"/><Relationship Id="rId19" Type="http://schemas.openxmlformats.org/officeDocument/2006/relationships/hyperlink" Target="https://www.centre-inffo.fr/site-centre-inffo/actualites-centre-inffo/le-quotidien-de-la-formation-actualite-formation-professionnelle-apprentissage/articles-2025/linterindustrie-rhonalpine-confrontee-aux-enjeux-des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rticles-2025/la-montee-en-competences-cle-de-voute-de-lindustrie-des-batterie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10d80721c3964c961268bac5a0ccac4d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2a0d7df2e2b3ffb033b27bdd2f86e697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64394-EEF9-4DF2-9EA8-E9DE4070C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E346E9-9545-4A03-B416-CCB6E4F476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Stéphanie Cogniaux</cp:lastModifiedBy>
  <cp:revision>44</cp:revision>
  <dcterms:created xsi:type="dcterms:W3CDTF">2022-12-05T13:11:00Z</dcterms:created>
  <dcterms:modified xsi:type="dcterms:W3CDTF">2025-10-31T16:03:00Z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